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14DF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14DF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14DF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14DF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14DF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14DF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14DF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14DF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14DF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14DF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14DF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14DF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14DF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14DF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14DF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14DF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14DF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4"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5A90518E"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w:t>
      </w:r>
      <w:r w:rsidR="00162066">
        <w:rPr>
          <w:rFonts w:ascii="Arial" w:hAnsi="Arial" w:cs="Arial"/>
          <w:color w:val="0070C0"/>
          <w:sz w:val="20"/>
          <w:szCs w:val="20"/>
          <w:u w:val="single"/>
        </w:rPr>
        <w:t>1</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6DC08BF7" w:rsidR="007D1E76" w:rsidRPr="00E74967" w:rsidRDefault="009E280F"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20FD81E9" wp14:editId="21335352">
            <wp:simplePos x="0" y="0"/>
            <wp:positionH relativeFrom="margin">
              <wp:posOffset>610624</wp:posOffset>
            </wp:positionH>
            <wp:positionV relativeFrom="margin">
              <wp:posOffset>273153</wp:posOffset>
            </wp:positionV>
            <wp:extent cx="4630420" cy="21012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239" t="29294" r="11133" b="15929"/>
                    <a:stretch/>
                  </pic:blipFill>
                  <pic:spPr bwMode="auto">
                    <a:xfrm>
                      <a:off x="0" y="0"/>
                      <a:ext cx="4630420" cy="210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E76" w:rsidRPr="00E74967">
        <w:rPr>
          <w:rFonts w:cs="Calibri"/>
          <w:b/>
        </w:rPr>
        <w:t>f)</w:t>
      </w:r>
      <w:r w:rsidR="007D1E76"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6E988635" w:rsidR="00FF4D5E" w:rsidRDefault="00FF4D5E" w:rsidP="00CB41C4">
      <w:pPr>
        <w:tabs>
          <w:tab w:val="left" w:leader="underscore" w:pos="9639"/>
        </w:tabs>
        <w:spacing w:after="0" w:line="240" w:lineRule="auto"/>
        <w:jc w:val="both"/>
        <w:rPr>
          <w:rFonts w:cs="Calibri"/>
        </w:rPr>
      </w:pP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366759BF"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w:t>
      </w:r>
      <w:r w:rsidR="00162066">
        <w:rPr>
          <w:rFonts w:cs="Calibri"/>
          <w:color w:val="0070C0"/>
          <w:u w:val="single"/>
        </w:rPr>
        <w:t>1</w:t>
      </w:r>
      <w:r w:rsidRPr="00165F98">
        <w:rPr>
          <w:rFonts w:cs="Calibri"/>
          <w:color w:val="0070C0"/>
          <w:u w:val="single"/>
        </w:rPr>
        <w:t xml:space="preserve">  que incluye las partidas  1131 Sueldos por  el monto de $ 1'</w:t>
      </w:r>
      <w:r w:rsidR="009E280F">
        <w:rPr>
          <w:rFonts w:cs="Calibri"/>
          <w:color w:val="0070C0"/>
          <w:u w:val="single"/>
        </w:rPr>
        <w:t>7</w:t>
      </w:r>
      <w:r w:rsidR="00162066">
        <w:rPr>
          <w:rFonts w:cs="Calibri"/>
          <w:color w:val="0070C0"/>
          <w:u w:val="single"/>
        </w:rPr>
        <w:t>75</w:t>
      </w:r>
      <w:r>
        <w:rPr>
          <w:rFonts w:cs="Calibri"/>
          <w:color w:val="0070C0"/>
          <w:u w:val="single"/>
        </w:rPr>
        <w:t>,</w:t>
      </w:r>
      <w:r w:rsidR="00162066">
        <w:rPr>
          <w:rFonts w:cs="Calibri"/>
          <w:color w:val="0070C0"/>
          <w:u w:val="single"/>
        </w:rPr>
        <w:t>823.24</w:t>
      </w:r>
      <w:r w:rsidRPr="00165F98">
        <w:rPr>
          <w:rFonts w:cs="Calibri"/>
          <w:color w:val="0070C0"/>
          <w:u w:val="single"/>
        </w:rPr>
        <w:t xml:space="preserve"> (Un millón </w:t>
      </w:r>
      <w:r w:rsidR="009E280F">
        <w:rPr>
          <w:rFonts w:cs="Calibri"/>
          <w:color w:val="0070C0"/>
          <w:u w:val="single"/>
        </w:rPr>
        <w:t xml:space="preserve">setecientos </w:t>
      </w:r>
      <w:r w:rsidR="00162066">
        <w:rPr>
          <w:rFonts w:cs="Calibri"/>
          <w:color w:val="0070C0"/>
          <w:u w:val="single"/>
        </w:rPr>
        <w:t>setenta y cinco</w:t>
      </w:r>
      <w:r w:rsidR="009E280F">
        <w:rPr>
          <w:rFonts w:cs="Calibri"/>
          <w:color w:val="0070C0"/>
          <w:u w:val="single"/>
        </w:rPr>
        <w:t xml:space="preserve"> mil </w:t>
      </w:r>
      <w:r w:rsidR="00162066">
        <w:rPr>
          <w:rFonts w:cs="Calibri"/>
          <w:color w:val="0070C0"/>
          <w:u w:val="single"/>
        </w:rPr>
        <w:t>ochocientos veintitrés</w:t>
      </w:r>
      <w:r>
        <w:rPr>
          <w:rFonts w:cs="Calibri"/>
          <w:color w:val="0070C0"/>
          <w:u w:val="single"/>
        </w:rPr>
        <w:t xml:space="preserve"> </w:t>
      </w:r>
      <w:r w:rsidRPr="00165F98">
        <w:rPr>
          <w:rFonts w:cs="Calibri"/>
          <w:color w:val="0070C0"/>
          <w:u w:val="single"/>
        </w:rPr>
        <w:t xml:space="preserve">pesos </w:t>
      </w:r>
      <w:r w:rsidR="00162066">
        <w:rPr>
          <w:rFonts w:cs="Calibri"/>
          <w:color w:val="0070C0"/>
          <w:u w:val="single"/>
        </w:rPr>
        <w:t>24</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sidR="00162066">
        <w:rPr>
          <w:rFonts w:cs="Calibri"/>
          <w:color w:val="0070C0"/>
          <w:u w:val="single"/>
        </w:rPr>
        <w:t>218,937.11</w:t>
      </w:r>
      <w:r w:rsidRPr="00165F98">
        <w:rPr>
          <w:rFonts w:cs="Calibri"/>
          <w:color w:val="0070C0"/>
          <w:u w:val="single"/>
        </w:rPr>
        <w:t xml:space="preserve"> (</w:t>
      </w:r>
      <w:r w:rsidR="00162066">
        <w:rPr>
          <w:rFonts w:cs="Calibri"/>
          <w:color w:val="0070C0"/>
          <w:u w:val="single"/>
        </w:rPr>
        <w:t xml:space="preserve">Doscientos dieciocho mil novecientos treinta y siete </w:t>
      </w:r>
      <w:r w:rsidRPr="00165F98">
        <w:rPr>
          <w:rFonts w:cs="Calibri"/>
          <w:color w:val="0070C0"/>
          <w:u w:val="single"/>
        </w:rPr>
        <w:t xml:space="preserve">pesos </w:t>
      </w:r>
      <w:r w:rsidR="00162066">
        <w:rPr>
          <w:rFonts w:cs="Calibri"/>
          <w:color w:val="0070C0"/>
          <w:u w:val="single"/>
        </w:rPr>
        <w:t>11</w:t>
      </w:r>
      <w:r w:rsidRPr="00165F98">
        <w:rPr>
          <w:rFonts w:cs="Calibri"/>
          <w:color w:val="0070C0"/>
          <w:u w:val="single"/>
        </w:rPr>
        <w:t xml:space="preserve">/100 MN) y la partida  1541 Prestaciones establecidas por condiciones generales por la cantidad de $ </w:t>
      </w:r>
      <w:r w:rsidR="00162066">
        <w:rPr>
          <w:rFonts w:cs="Calibri"/>
          <w:color w:val="0070C0"/>
          <w:u w:val="single"/>
        </w:rPr>
        <w:t>143,120.57</w:t>
      </w:r>
      <w:r w:rsidRPr="00165F98">
        <w:rPr>
          <w:rFonts w:cs="Calibri"/>
          <w:color w:val="0070C0"/>
          <w:u w:val="single"/>
        </w:rPr>
        <w:t xml:space="preserve"> (</w:t>
      </w:r>
      <w:r w:rsidR="00162066">
        <w:rPr>
          <w:rFonts w:cs="Calibri"/>
          <w:color w:val="0070C0"/>
          <w:u w:val="single"/>
        </w:rPr>
        <w:t>Ciento cuarenta y tres mil ciento veinte</w:t>
      </w:r>
      <w:r w:rsidRPr="00165F98">
        <w:rPr>
          <w:rFonts w:cs="Calibri"/>
          <w:color w:val="0070C0"/>
          <w:u w:val="single"/>
        </w:rPr>
        <w:t xml:space="preserve"> pesos </w:t>
      </w:r>
      <w:r w:rsidR="00162066">
        <w:rPr>
          <w:rFonts w:cs="Calibri"/>
          <w:color w:val="0070C0"/>
          <w:u w:val="single"/>
        </w:rPr>
        <w:t>57</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53385E24"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w:t>
      </w:r>
      <w:r w:rsidR="00162066">
        <w:rPr>
          <w:rFonts w:cs="Calibri"/>
          <w:color w:val="0070C0"/>
          <w:u w:val="single"/>
        </w:rPr>
        <w:t>1</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lastRenderedPageBreak/>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8DE6C7B"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57F47131" w14:textId="77777777" w:rsidR="00633C49" w:rsidRDefault="00633C49" w:rsidP="00633C49">
      <w:pPr>
        <w:spacing w:after="0" w:line="240" w:lineRule="auto"/>
        <w:jc w:val="both"/>
        <w:rPr>
          <w:rFonts w:cs="Calibri"/>
        </w:rPr>
      </w:pP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05ED5CE6" w14:textId="77777777" w:rsidR="00633C49" w:rsidRPr="00E74967" w:rsidRDefault="00633C49" w:rsidP="00633C49">
      <w:pPr>
        <w:tabs>
          <w:tab w:val="left" w:leader="underscore" w:pos="9639"/>
        </w:tabs>
        <w:spacing w:after="0" w:line="240" w:lineRule="auto"/>
        <w:jc w:val="both"/>
        <w:rPr>
          <w:rFonts w:cs="Calibri"/>
        </w:rPr>
      </w:pP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90FEC97" w14:textId="77777777" w:rsidR="00633C49" w:rsidRPr="00E74967" w:rsidRDefault="00633C49" w:rsidP="00633C49">
      <w:pPr>
        <w:tabs>
          <w:tab w:val="left" w:leader="underscore" w:pos="9639"/>
        </w:tabs>
        <w:spacing w:after="0" w:line="240" w:lineRule="auto"/>
        <w:jc w:val="both"/>
        <w:rPr>
          <w:rFonts w:cs="Calibri"/>
        </w:rPr>
      </w:pPr>
    </w:p>
    <w:p w14:paraId="62F41892"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495F9053" w14:textId="77777777" w:rsidR="00633C49" w:rsidRPr="00E74967" w:rsidRDefault="00633C49" w:rsidP="00633C49">
      <w:pPr>
        <w:tabs>
          <w:tab w:val="left" w:leader="underscore" w:pos="9639"/>
        </w:tabs>
        <w:spacing w:after="0" w:line="240" w:lineRule="auto"/>
        <w:jc w:val="both"/>
        <w:rPr>
          <w:rFonts w:cs="Calibri"/>
        </w:rPr>
      </w:pP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226461D5" w14:textId="77777777" w:rsidR="00633C49" w:rsidRPr="00F179FE" w:rsidRDefault="00633C49" w:rsidP="00633C49">
      <w:pPr>
        <w:spacing w:after="0" w:line="240" w:lineRule="auto"/>
        <w:jc w:val="both"/>
        <w:rPr>
          <w:rFonts w:cs="Calibri"/>
        </w:rPr>
      </w:pPr>
    </w:p>
    <w:p w14:paraId="0009FF26" w14:textId="77777777" w:rsidR="00633C49" w:rsidRPr="00E74967" w:rsidRDefault="00633C49" w:rsidP="00633C49">
      <w:pPr>
        <w:spacing w:after="0" w:line="240" w:lineRule="auto"/>
        <w:jc w:val="both"/>
        <w:rPr>
          <w:rFonts w:cs="Calibri"/>
        </w:rPr>
      </w:pP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2CD7C2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B04D" w14:textId="77777777" w:rsidR="00C14DF0" w:rsidRDefault="00C14DF0" w:rsidP="00E00323">
      <w:pPr>
        <w:spacing w:after="0" w:line="240" w:lineRule="auto"/>
      </w:pPr>
      <w:r>
        <w:separator/>
      </w:r>
    </w:p>
  </w:endnote>
  <w:endnote w:type="continuationSeparator" w:id="0">
    <w:p w14:paraId="6E140227" w14:textId="77777777" w:rsidR="00C14DF0" w:rsidRDefault="00C14D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FBE41BB" w:rsidR="0012405A" w:rsidRDefault="0012405A">
        <w:pPr>
          <w:pStyle w:val="Piedepgina"/>
          <w:jc w:val="right"/>
        </w:pPr>
        <w:r>
          <w:fldChar w:fldCharType="begin"/>
        </w:r>
        <w:r>
          <w:instrText>PAGE   \* MERGEFORMAT</w:instrText>
        </w:r>
        <w:r>
          <w:fldChar w:fldCharType="separate"/>
        </w:r>
        <w:r w:rsidR="006412A3" w:rsidRPr="006412A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4977" w14:textId="77777777" w:rsidR="00C14DF0" w:rsidRDefault="00C14DF0" w:rsidP="00E00323">
      <w:pPr>
        <w:spacing w:after="0" w:line="240" w:lineRule="auto"/>
      </w:pPr>
      <w:r>
        <w:separator/>
      </w:r>
    </w:p>
  </w:footnote>
  <w:footnote w:type="continuationSeparator" w:id="0">
    <w:p w14:paraId="34C4E69A" w14:textId="77777777" w:rsidR="00C14DF0" w:rsidRDefault="00C14D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7D4E97EB" w:rsidR="00A4610E" w:rsidRDefault="00A4610E" w:rsidP="00A31A27">
    <w:pPr>
      <w:pStyle w:val="Encabezado"/>
      <w:spacing w:after="0" w:line="240" w:lineRule="auto"/>
      <w:jc w:val="center"/>
    </w:pPr>
    <w:r w:rsidRPr="00A4610E">
      <w:t xml:space="preserve">CORRESPONDINTES </w:t>
    </w:r>
    <w:r w:rsidR="00C63FBF">
      <w:t xml:space="preserve">DEL 01 DE ENERO AL </w:t>
    </w:r>
    <w:r w:rsidRPr="00A4610E">
      <w:t xml:space="preserve"> </w:t>
    </w:r>
    <w:r w:rsidR="00162066">
      <w:t>3</w:t>
    </w:r>
    <w:r w:rsidR="00195C8D">
      <w:t xml:space="preserve">0 DE </w:t>
    </w:r>
    <w:r w:rsidR="006412A3">
      <w:t>SEPTIEMBRE</w:t>
    </w:r>
    <w:r w:rsidR="00162066">
      <w:t xml:space="preserve"> DEL 2021</w:t>
    </w:r>
  </w:p>
  <w:p w14:paraId="22FE6171" w14:textId="77777777" w:rsidR="009E280F" w:rsidRDefault="009E280F" w:rsidP="00EF78D9">
    <w:pPr>
      <w:pStyle w:val="Encabezado"/>
      <w:spacing w:after="0" w:line="240" w:lineRule="auto"/>
      <w:jc w:val="center"/>
    </w:pP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0E95"/>
    <w:rsid w:val="000565AC"/>
    <w:rsid w:val="00084EAE"/>
    <w:rsid w:val="00091CE6"/>
    <w:rsid w:val="000B7810"/>
    <w:rsid w:val="000C3365"/>
    <w:rsid w:val="0012405A"/>
    <w:rsid w:val="00154BA3"/>
    <w:rsid w:val="00162066"/>
    <w:rsid w:val="00195C8D"/>
    <w:rsid w:val="001973A2"/>
    <w:rsid w:val="001C3078"/>
    <w:rsid w:val="001C75F2"/>
    <w:rsid w:val="001D2063"/>
    <w:rsid w:val="001D340D"/>
    <w:rsid w:val="001D43E9"/>
    <w:rsid w:val="002878C9"/>
    <w:rsid w:val="002B05B0"/>
    <w:rsid w:val="003453CA"/>
    <w:rsid w:val="00407188"/>
    <w:rsid w:val="00435A87"/>
    <w:rsid w:val="004872C4"/>
    <w:rsid w:val="004A58C8"/>
    <w:rsid w:val="004C38E2"/>
    <w:rsid w:val="004F234D"/>
    <w:rsid w:val="0054701E"/>
    <w:rsid w:val="005B37A9"/>
    <w:rsid w:val="005B5531"/>
    <w:rsid w:val="005D3E43"/>
    <w:rsid w:val="005E231E"/>
    <w:rsid w:val="00633C49"/>
    <w:rsid w:val="006412A3"/>
    <w:rsid w:val="00657009"/>
    <w:rsid w:val="00681C79"/>
    <w:rsid w:val="006E6C54"/>
    <w:rsid w:val="007610BC"/>
    <w:rsid w:val="007714AB"/>
    <w:rsid w:val="007D1E76"/>
    <w:rsid w:val="007D4484"/>
    <w:rsid w:val="0086459F"/>
    <w:rsid w:val="00896C3C"/>
    <w:rsid w:val="008C3BB8"/>
    <w:rsid w:val="008E076C"/>
    <w:rsid w:val="0092765C"/>
    <w:rsid w:val="009A2A78"/>
    <w:rsid w:val="009E280F"/>
    <w:rsid w:val="00A31A27"/>
    <w:rsid w:val="00A4610E"/>
    <w:rsid w:val="00A730E0"/>
    <w:rsid w:val="00AA41E5"/>
    <w:rsid w:val="00AB722B"/>
    <w:rsid w:val="00AE1F6A"/>
    <w:rsid w:val="00C14DF0"/>
    <w:rsid w:val="00C63FBF"/>
    <w:rsid w:val="00C97E1E"/>
    <w:rsid w:val="00CB41C4"/>
    <w:rsid w:val="00CD3E9C"/>
    <w:rsid w:val="00CE24F9"/>
    <w:rsid w:val="00CF1316"/>
    <w:rsid w:val="00D13C44"/>
    <w:rsid w:val="00D975B1"/>
    <w:rsid w:val="00E00323"/>
    <w:rsid w:val="00E74967"/>
    <w:rsid w:val="00E7559F"/>
    <w:rsid w:val="00E76B0C"/>
    <w:rsid w:val="00EA37F5"/>
    <w:rsid w:val="00EA7915"/>
    <w:rsid w:val="00EF78D9"/>
    <w:rsid w:val="00F24E40"/>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62F3F92-4CDB-4447-BDA9-01CF8E31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3040</Words>
  <Characters>16721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31</cp:revision>
  <dcterms:created xsi:type="dcterms:W3CDTF">2017-01-12T05:27:00Z</dcterms:created>
  <dcterms:modified xsi:type="dcterms:W3CDTF">2021-10-07T19:09:00Z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